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B2F" w:rsidRPr="00554B2F" w:rsidRDefault="00554B2F" w:rsidP="00554B2F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Calibri"/>
          <w:b/>
          <w:bCs/>
          <w:color w:val="000000"/>
          <w:kern w:val="36"/>
          <w:sz w:val="25"/>
          <w:szCs w:val="25"/>
        </w:rPr>
      </w:pPr>
      <w:r w:rsidRPr="00554B2F">
        <w:rPr>
          <w:rFonts w:ascii="inherit" w:eastAsia="Times New Roman" w:hAnsi="inherit" w:cs="Calibri"/>
          <w:b/>
          <w:bCs/>
          <w:color w:val="000000"/>
          <w:kern w:val="36"/>
          <w:sz w:val="25"/>
          <w:szCs w:val="25"/>
          <w:rtl/>
        </w:rPr>
        <w:t>نمونه قرارداد خرید و فروش (انتقال) سرقفلی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ماده 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 xml:space="preserve">۱- 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طرفین قرارداد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1-1 انتقال دهنده ....................... فرزند ................. به شماره شناسنامه ..................... صادره از ....................... کد ملی ................... متولد .........       ساکن ................................................... تلفن .................... .      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با وکالت / قیومیت / ولایت / وصایت ..................... فرزند .................. به شماره شناسنامه .................. متولد ..............  به موجب ................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1-2 انتقال گیرنده  ....................... فرزند ................. به شماره شناسنامه ..................... صادره از ....................... کد ملی ................... متولد .........       ساکن ................................................... تلفن .................... .      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با وکالت / قیومیت / ولایت / وصایت ..................... فرزند .................. به شماره شناسنامه .................. متولد .............  به موجب ...............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ماده 2 –  موضوع و مشخصات مورد معامله  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موضوع این قرارداد انتقال کلیه حقوق مالی اعم از قطعی و احتمالی انتقال دهنده نسبت به حق کسب و پیشه . تجارت و سرقفلی بوده که مورد معامله عبارتست از        دانگ / یک باب                         دارای پلاک ثبتی شماره                  فرعی از                           اصلی                 قطعه                  واقع در بخش                    به مساحت                        متر مربع دارای سند مالکیت  به شماره سریال           صفحه                             دفتر               بنام                   دارای حق اشتراک آب/ برق / گاز اختصاصی / اشتراکی / شوفاژ روشن / غیر روشن / کولر / پارکینگ قطعه            به متراژ                        متر مربع             / انباری قطعه        به متراژ              متر مربع / تلفن دایر به شماره                 /غیر دایر و دارای پایان کار ساختمان شماره                    مورخ     /      /    13  صادره از سوی شهرداری منطقه     می باشد که انتقال گیرنده مورد سرقفلی را رویت نموده و از کم و کیف آن از هر جهت اطلاع و آگاهی پیدا کرد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ماده 3 – قیمت معامله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 xml:space="preserve">۳-۱  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قیمت مورد معامله به طور مقطوع مبلغ                                ریال معادل                                    تومان تعیین می گردد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>۳-۲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 همزمان با این توافق مبلغ                                                         ریال معادل                         تومان نقداَ / طی چک شماره                بانک                   شعبه                  به فروشنده پرداخت گردید . باقیمانده مبلغ                                    ریال در زمان تنظیم سند در دفتر اسناد رسمی پرداخت خواهد شد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ماده 4 – شرایط مربوط به تنظیم سند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>۴-۱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 طرفین متعهد شدند جهت تنظیم سند انتقال رسمی در تاریخ     /      /    13  در دفتر اسناد رسمی شماره                  واقع در                                                      حاضر شوند و انتقال دهنده متعهد گردید سند را بنام انتقال گیرنده یا هر کس که انتقال گیرنده معرفی نماید انتقال دهد . در ضمن اجرای تعهد به تنظیم سند از طرف فروشنده بنام انتقال گیرنده بعدی موکول به احراز انتقال از طریق ارائه قرارداد می باشد . در صورت عدم حضور هر یک از طرفین در دفترخانه اسناد رسمی برای انتقال رسمی ، گواهی سردفتر مثبت تخلف نامبرده می باشد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>۴-۲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 عدم ارائه مستندات و مدارک لازم جهت تنظیم سند از طرف فروشنده و عدم پرداخت ثمن توسط خریدار در حکم عدم حضور است و سر دفتر در موارد مذکور مجاز به صدور گواهی عدم حضور می باشد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ماده 5 – شرایط تسلیم مورد معامله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lastRenderedPageBreak/>
        <w:t>1-5 انتقال دهنده موظف است مورد معامله را در تاریخ    /    /    13 با تمام توابع و ملحقات و منضمات آن تسلیم خریدار کند و هر گونه موانع در استیفاء و بهره برداری کامل از مورد معامله را بر طرف کند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>۵-۲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 در صورتیکه معلوم گردد مورد معامله به جهت قوه قاهره قابلیت انتقال نداشته و این عامل مربوط به زمان انعقاد قرارداد باشد . قرارداد باطل است و انتقال دهنده موظف است مبلغ دریافتی را به منتقل الیه مسترد کند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>۵-۳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 در صورتیکه معلوم گردد مورد معامله به هر علتی غیر از عامل قوه قاهره مانند رهن بودن ، مستحق الغیر بودن ، عملیات اجرائی دادگستری و یا اجرای اسناد رسمی ، غصبی بودن قانوناَ قابل انتقال به انتقال گیرنده نباشد . انتقال دهنده موظف است علاوه بر استرداد ثمن معامله ، معادل                            ریال به عنوان خسارت به انتقال گیرنده بپردازد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ماده 6 – آثار قرارداد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>۶-۱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 در صورتیکه حق انتقال سرقفلی به غیر از شخص انتقال گیرنده سلب گردد. مشارالیه حق انتقال سر قفلی را به غیر به هیچ عنوان نخواهد داشت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>۶-۲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 انتقال دهنده اقرار نمود که مورد قرارداد مشمول مصادره اموال سرپرستی و در توقیف ، وثیقه غیر نمی باشد و منافع آن نیز قبلا َ به دیگری واگذار نگردیده است . هرگاه کذب اقرار انتقال دهنده محرز گردد و از این جهت به انتقال گیرنده خسارتی وارد گردد ، متخلف مکلف به جبران خسارت وارده   می باشد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 xml:space="preserve">۶-۳  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انتقال دهنده در صورت استنکاف از تحویل مورد قرارداد مکلف است از بابت هر روز تاخیر ، مبلغ                                 ریال به انتقال گیرنده پرداخت نماید . تادیه خسارت مذکور مانع از انجام تعهد اصلی انتقال دهنده نمی باشد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>۶-۴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 انتقال گیرنده مکلف است تمامی قیمت مورد معامله را تا تاریخ     /     /     13    به انتقال دهنده تادیه نماید . در غیر اینصورت انتقال دهنده حق فسخ قرارداد را داشته و نیز می تواند مبلغ                                               وجه التزام از انتقال گیرنده دریافت نماید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 xml:space="preserve">۶-۵  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پرداخت کلیه عوارض شهرداری و مالیات مشاغل و حق بیمه کارگران و کارکنان مانده از قبل و تا زمان تحویل همچنین تحصیل  رضایت مالک و پرداخت حق مالکانه به مالک به عهده انتقال دهنده / انتقال گیرنده  می باشد.  در حال حاضر میزان مال الاجاره پرداختی به موجر (مالک ) مبلغ               ریال می باشد که هنگام تنظیم سند اجاره بها با توافق مستاجر جدید و مالک وقت تعیین خواهد شد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6-6  مالیات نقل و انتقال سرقفلی و اخذ پاسخ استعلامات ثبتی به منظور تنظیم سند انتقال سرقفلی ، به عهده انتقال دهنده / انتقال گیرنده خواهد بود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>۶-۷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 اصل کلیه اسناد و مدارک نزد انتقال دهنده / انتقال گیرنده باقی ماند تا نسبت به کارهای اداری آن اقدام نماید و در حال حاضر فعالیت کسبی و کاری در مغازه / آپارتمان موصوف به صورت                                  می باشد 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ماده 7- قوانین ناظر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این قرارداد در بردارنده انتقال قطعی و شرعی و تعهد طرفین به ایفای تعهدات داده شده می باشد و با توجه به مواد 10 و 190 و 219 قانون مدنی بین طرفین منعقد گردید.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ماده 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 xml:space="preserve">۸- 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>نسخ و تصدیق قرارداد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این قرارداد با علم و اطلاع و رضایت کامل انتقال دهنده و انتقال گیرنده نسبت به مفاد و شروط آن در 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  <w:lang w:bidi="fa-IR"/>
        </w:rPr>
        <w:t>۸</w:t>
      </w:r>
      <w:r w:rsidRPr="00554B2F">
        <w:rPr>
          <w:rFonts w:ascii="inherit" w:eastAsia="Times New Roman" w:hAnsi="inherit" w:cs="Calibri"/>
          <w:color w:val="000000"/>
          <w:sz w:val="21"/>
          <w:szCs w:val="21"/>
          <w:rtl/>
        </w:rPr>
        <w:t xml:space="preserve"> ماده و           نسخه برابر تنظیم شده است و به امضا طرفین رسیده و توسط دو شاهد تصدیق و امضا شده است.</w:t>
      </w:r>
    </w:p>
    <w:p w:rsidR="00554B2F" w:rsidRPr="00554B2F" w:rsidRDefault="00554B2F" w:rsidP="00554B2F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54B2F">
        <w:rPr>
          <w:rFonts w:ascii="Calibri" w:eastAsia="Times New Roman" w:hAnsi="Calibri" w:cs="Calibri"/>
          <w:color w:val="000000"/>
          <w:sz w:val="21"/>
          <w:szCs w:val="21"/>
          <w:rtl/>
        </w:rPr>
        <w:t> </w:t>
      </w:r>
    </w:p>
    <w:p w:rsidR="00554B2F" w:rsidRPr="00554B2F" w:rsidRDefault="00554B2F" w:rsidP="00554B2F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54B2F">
        <w:rPr>
          <w:rFonts w:ascii="Calibri" w:eastAsia="Times New Roman" w:hAnsi="Calibri" w:cs="Calibri"/>
          <w:color w:val="000000"/>
          <w:sz w:val="21"/>
          <w:szCs w:val="21"/>
          <w:rtl/>
        </w:rPr>
        <w:t> </w:t>
      </w:r>
    </w:p>
    <w:p w:rsidR="00554B2F" w:rsidRPr="00554B2F" w:rsidRDefault="00554B2F" w:rsidP="00554B2F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54B2F">
        <w:rPr>
          <w:rFonts w:ascii="Calibri" w:eastAsia="Times New Roman" w:hAnsi="Calibri" w:cs="Calibri"/>
          <w:color w:val="000000"/>
          <w:sz w:val="21"/>
          <w:szCs w:val="21"/>
          <w:rtl/>
        </w:rPr>
        <w:lastRenderedPageBreak/>
        <w:t>               محل امضاء و اثر انگشت انتقال دهنده                                      نام و نام خانوادگی و محل امضاء و اثر انگشت شاهد نخست</w:t>
      </w:r>
    </w:p>
    <w:p w:rsidR="00554B2F" w:rsidRPr="00554B2F" w:rsidRDefault="00554B2F" w:rsidP="00554B2F">
      <w:pPr>
        <w:shd w:val="clear" w:color="auto" w:fill="FFFFFF"/>
        <w:bidi/>
        <w:spacing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rtl/>
        </w:rPr>
      </w:pPr>
      <w:r w:rsidRPr="00554B2F">
        <w:rPr>
          <w:rFonts w:ascii="Calibri" w:eastAsia="Times New Roman" w:hAnsi="Calibri" w:cs="Calibri"/>
          <w:color w:val="000000"/>
          <w:sz w:val="21"/>
          <w:szCs w:val="21"/>
          <w:rtl/>
        </w:rPr>
        <w:t>               محل امضاء و اثر انگشت انتقال گیرنده                                       نام و نام خانوادگی و محل امضاء و اثر انگشت شاهد دوم</w:t>
      </w:r>
    </w:p>
    <w:p w:rsidR="00554B2F" w:rsidRPr="00554B2F" w:rsidRDefault="00554B2F" w:rsidP="00554B2F">
      <w:pPr>
        <w:shd w:val="clear" w:color="auto" w:fill="FFFFFF"/>
        <w:bidi/>
        <w:spacing w:before="300" w:after="150" w:line="240" w:lineRule="auto"/>
        <w:jc w:val="both"/>
        <w:outlineLvl w:val="2"/>
        <w:rPr>
          <w:rFonts w:ascii="inherit" w:eastAsia="Times New Roman" w:hAnsi="inherit" w:cs="Calibri"/>
          <w:color w:val="000000"/>
          <w:sz w:val="25"/>
          <w:szCs w:val="25"/>
          <w:rtl/>
        </w:rPr>
      </w:pPr>
      <w:r w:rsidRPr="00554B2F">
        <w:rPr>
          <w:rFonts w:ascii="inherit" w:eastAsia="Times New Roman" w:hAnsi="inherit" w:cs="Calibri"/>
          <w:color w:val="000000"/>
          <w:sz w:val="25"/>
          <w:szCs w:val="25"/>
          <w:rtl/>
        </w:rPr>
        <w:t> </w:t>
      </w:r>
    </w:p>
    <w:p w:rsidR="00195B4F" w:rsidRDefault="00554B2F">
      <w:bookmarkStart w:id="0" w:name="_GoBack"/>
      <w:bookmarkEnd w:id="0"/>
    </w:p>
    <w:sectPr w:rsidR="00195B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2F"/>
    <w:rsid w:val="0002646B"/>
    <w:rsid w:val="00554B2F"/>
    <w:rsid w:val="00F7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8C50E0-BBC4-47A4-BF91-91645C33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8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jooni</dc:creator>
  <cp:keywords/>
  <dc:description/>
  <cp:lastModifiedBy>neda jooni</cp:lastModifiedBy>
  <cp:revision>1</cp:revision>
  <dcterms:created xsi:type="dcterms:W3CDTF">2020-07-04T08:48:00Z</dcterms:created>
  <dcterms:modified xsi:type="dcterms:W3CDTF">2020-07-04T08:48:00Z</dcterms:modified>
</cp:coreProperties>
</file>